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0C4" w:rsidRPr="002170C4" w:rsidRDefault="002170C4" w:rsidP="002170C4">
      <w:pPr>
        <w:spacing w:line="600" w:lineRule="exact"/>
        <w:rPr>
          <w:rFonts w:ascii="仿宋" w:eastAsia="仿宋" w:hAnsi="仿宋" w:cs="仿宋"/>
          <w:color w:val="000000"/>
          <w:kern w:val="0"/>
          <w:sz w:val="30"/>
          <w:szCs w:val="30"/>
          <w:lang w:bidi="ar"/>
        </w:rPr>
      </w:pPr>
      <w:r w:rsidRPr="002170C4">
        <w:rPr>
          <w:rFonts w:ascii="仿宋" w:eastAsia="仿宋" w:hAnsi="仿宋" w:cs="仿宋" w:hint="eastAsia"/>
          <w:color w:val="000000"/>
          <w:kern w:val="0"/>
          <w:sz w:val="30"/>
          <w:szCs w:val="30"/>
          <w:lang w:bidi="ar"/>
        </w:rPr>
        <w:t>附件3</w:t>
      </w:r>
    </w:p>
    <w:p w:rsidR="00A1786E" w:rsidRDefault="00A9209F">
      <w:pPr>
        <w:spacing w:line="600" w:lineRule="exact"/>
        <w:jc w:val="center"/>
        <w:rPr>
          <w:rFonts w:ascii="方正小标宋简体" w:eastAsia="方正小标宋简体" w:hAnsi="方正小标宋简体" w:cs="黑体"/>
          <w:sz w:val="40"/>
          <w:szCs w:val="40"/>
        </w:rPr>
      </w:pPr>
      <w:r>
        <w:rPr>
          <w:rFonts w:ascii="方正小标宋简体" w:eastAsia="方正小标宋简体" w:hAnsi="方正小标宋简体" w:cs="黑体" w:hint="eastAsia"/>
          <w:sz w:val="40"/>
          <w:szCs w:val="40"/>
        </w:rPr>
        <w:t>2018年《沈阳师范大学本科教学工作审核评估报告》</w:t>
      </w:r>
    </w:p>
    <w:p w:rsidR="00A1786E" w:rsidRDefault="00A9209F" w:rsidP="00A9209F">
      <w:pPr>
        <w:spacing w:afterLines="100" w:after="312" w:line="600" w:lineRule="exact"/>
        <w:jc w:val="center"/>
        <w:rPr>
          <w:rFonts w:ascii="方正小标宋简体" w:eastAsia="方正小标宋简体" w:hAnsi="方正小标宋简体" w:cs="黑体"/>
          <w:sz w:val="40"/>
          <w:szCs w:val="40"/>
        </w:rPr>
      </w:pPr>
      <w:r>
        <w:rPr>
          <w:rFonts w:ascii="方正小标宋简体" w:eastAsia="方正小标宋简体" w:hAnsi="方正小标宋简体" w:cs="黑体" w:hint="eastAsia"/>
          <w:sz w:val="40"/>
          <w:szCs w:val="40"/>
        </w:rPr>
        <w:t>需要整改的问题</w:t>
      </w:r>
      <w:bookmarkStart w:id="0" w:name="_GoBack"/>
      <w:bookmarkEnd w:id="0"/>
      <w:r w:rsidR="002F3079" w:rsidRPr="002F3079">
        <w:rPr>
          <w:rFonts w:ascii="方正小标宋简体" w:eastAsia="方正小标宋简体" w:hAnsi="方正小标宋简体" w:cs="黑体" w:hint="eastAsia"/>
          <w:sz w:val="40"/>
          <w:szCs w:val="40"/>
        </w:rPr>
        <w:t>任务分解表</w:t>
      </w:r>
    </w:p>
    <w:tbl>
      <w:tblPr>
        <w:tblW w:w="5108" w:type="pct"/>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90"/>
        <w:gridCol w:w="4787"/>
        <w:gridCol w:w="1723"/>
        <w:gridCol w:w="1689"/>
      </w:tblGrid>
      <w:tr w:rsidR="00A1786E">
        <w:trPr>
          <w:trHeight w:val="548"/>
          <w:tblHeader/>
        </w:trPr>
        <w:tc>
          <w:tcPr>
            <w:tcW w:w="679" w:type="pct"/>
            <w:tcBorders>
              <w:top w:val="single" w:sz="4" w:space="0" w:color="auto"/>
              <w:left w:val="single" w:sz="4" w:space="0" w:color="auto"/>
              <w:bottom w:val="single" w:sz="4" w:space="0" w:color="auto"/>
              <w:right w:val="single" w:sz="4" w:space="0" w:color="auto"/>
            </w:tcBorders>
            <w:shd w:val="clear" w:color="auto" w:fill="DAE3F4" w:themeFill="accent1" w:themeFillTint="32"/>
            <w:noWrap/>
            <w:vAlign w:val="center"/>
          </w:tcPr>
          <w:p w:rsidR="00A1786E" w:rsidRDefault="00A9209F">
            <w:pPr>
              <w:widowControl/>
              <w:jc w:val="center"/>
              <w:textAlignment w:val="center"/>
              <w:rPr>
                <w:rFonts w:ascii="黑体" w:eastAsia="黑体" w:hAnsi="黑体" w:cs="黑体"/>
                <w:b/>
                <w:bCs/>
                <w:color w:val="000000"/>
                <w:sz w:val="24"/>
              </w:rPr>
            </w:pPr>
            <w:r>
              <w:rPr>
                <w:rFonts w:ascii="黑体" w:eastAsia="黑体" w:hAnsi="黑体" w:cs="黑体" w:hint="eastAsia"/>
                <w:b/>
                <w:bCs/>
                <w:color w:val="000000"/>
                <w:kern w:val="0"/>
                <w:sz w:val="24"/>
                <w:lang w:bidi="ar"/>
              </w:rPr>
              <w:t>一级指标</w:t>
            </w:r>
          </w:p>
        </w:tc>
        <w:tc>
          <w:tcPr>
            <w:tcW w:w="2521" w:type="pct"/>
            <w:tcBorders>
              <w:top w:val="single" w:sz="4" w:space="0" w:color="BC7F14"/>
              <w:left w:val="single" w:sz="4" w:space="0" w:color="auto"/>
              <w:bottom w:val="single" w:sz="4" w:space="0" w:color="auto"/>
              <w:right w:val="single" w:sz="4" w:space="0" w:color="auto"/>
            </w:tcBorders>
            <w:shd w:val="clear" w:color="auto" w:fill="DAE3F4" w:themeFill="accent1" w:themeFillTint="32"/>
            <w:noWrap/>
            <w:vAlign w:val="center"/>
          </w:tcPr>
          <w:p w:rsidR="00A1786E" w:rsidRDefault="00A9209F">
            <w:pPr>
              <w:widowControl/>
              <w:jc w:val="center"/>
              <w:textAlignment w:val="center"/>
              <w:rPr>
                <w:rFonts w:ascii="黑体" w:eastAsia="黑体" w:hAnsi="黑体" w:cs="黑体"/>
                <w:b/>
                <w:bCs/>
                <w:color w:val="000000"/>
                <w:sz w:val="24"/>
              </w:rPr>
            </w:pPr>
            <w:r>
              <w:rPr>
                <w:rFonts w:ascii="黑体" w:eastAsia="黑体" w:hAnsi="黑体" w:cs="黑体" w:hint="eastAsia"/>
                <w:b/>
                <w:bCs/>
                <w:color w:val="000000"/>
                <w:kern w:val="0"/>
                <w:sz w:val="24"/>
                <w:lang w:bidi="ar"/>
              </w:rPr>
              <w:t>2018年审核评估报告问题描述</w:t>
            </w:r>
          </w:p>
        </w:tc>
        <w:tc>
          <w:tcPr>
            <w:tcW w:w="908" w:type="pct"/>
            <w:tcBorders>
              <w:top w:val="single" w:sz="4" w:space="0" w:color="auto"/>
              <w:left w:val="single" w:sz="4" w:space="0" w:color="auto"/>
              <w:bottom w:val="single" w:sz="4" w:space="0" w:color="auto"/>
              <w:right w:val="single" w:sz="4" w:space="0" w:color="auto"/>
            </w:tcBorders>
            <w:shd w:val="clear" w:color="auto" w:fill="DAE3F4" w:themeFill="accent1" w:themeFillTint="32"/>
            <w:noWrap/>
            <w:vAlign w:val="center"/>
          </w:tcPr>
          <w:p w:rsidR="00A1786E" w:rsidRDefault="00A9209F">
            <w:pPr>
              <w:widowControl/>
              <w:jc w:val="center"/>
              <w:textAlignment w:val="center"/>
              <w:rPr>
                <w:rFonts w:ascii="黑体" w:eastAsia="黑体" w:hAnsi="黑体" w:cs="黑体"/>
                <w:b/>
                <w:bCs/>
                <w:color w:val="000000"/>
                <w:kern w:val="0"/>
                <w:sz w:val="24"/>
                <w:lang w:bidi="ar"/>
              </w:rPr>
            </w:pPr>
            <w:r>
              <w:rPr>
                <w:rFonts w:ascii="黑体" w:eastAsia="黑体" w:hAnsi="黑体" w:cs="黑体" w:hint="eastAsia"/>
                <w:b/>
                <w:bCs/>
                <w:color w:val="000000"/>
                <w:kern w:val="0"/>
                <w:sz w:val="24"/>
                <w:lang w:bidi="ar"/>
              </w:rPr>
              <w:t>新一轮评估</w:t>
            </w:r>
          </w:p>
          <w:p w:rsidR="00A1786E" w:rsidRDefault="00A9209F">
            <w:pPr>
              <w:widowControl/>
              <w:jc w:val="center"/>
              <w:textAlignment w:val="center"/>
              <w:rPr>
                <w:rFonts w:ascii="黑体" w:eastAsia="黑体" w:hAnsi="黑体" w:cs="黑体"/>
                <w:b/>
                <w:bCs/>
                <w:color w:val="000000"/>
                <w:sz w:val="24"/>
              </w:rPr>
            </w:pPr>
            <w:r>
              <w:rPr>
                <w:rFonts w:ascii="黑体" w:eastAsia="黑体" w:hAnsi="黑体" w:cs="黑体" w:hint="eastAsia"/>
                <w:b/>
                <w:bCs/>
                <w:color w:val="000000"/>
                <w:kern w:val="0"/>
                <w:sz w:val="24"/>
                <w:lang w:bidi="ar"/>
              </w:rPr>
              <w:t>任务牵头部门</w:t>
            </w:r>
          </w:p>
        </w:tc>
        <w:tc>
          <w:tcPr>
            <w:tcW w:w="890" w:type="pct"/>
            <w:tcBorders>
              <w:top w:val="single" w:sz="4" w:space="0" w:color="auto"/>
              <w:left w:val="single" w:sz="4" w:space="0" w:color="auto"/>
              <w:bottom w:val="single" w:sz="4" w:space="0" w:color="auto"/>
              <w:right w:val="single" w:sz="4" w:space="0" w:color="auto"/>
            </w:tcBorders>
            <w:shd w:val="clear" w:color="auto" w:fill="DAE3F4" w:themeFill="accent1" w:themeFillTint="32"/>
            <w:noWrap/>
            <w:vAlign w:val="center"/>
          </w:tcPr>
          <w:p w:rsidR="00A1786E" w:rsidRDefault="00A9209F">
            <w:pPr>
              <w:widowControl/>
              <w:jc w:val="center"/>
              <w:textAlignment w:val="center"/>
              <w:rPr>
                <w:rFonts w:ascii="黑体" w:eastAsia="黑体" w:hAnsi="黑体" w:cs="黑体"/>
                <w:b/>
                <w:bCs/>
                <w:color w:val="000000"/>
                <w:kern w:val="0"/>
                <w:sz w:val="24"/>
                <w:lang w:bidi="ar"/>
              </w:rPr>
            </w:pPr>
            <w:r>
              <w:rPr>
                <w:rFonts w:ascii="黑体" w:eastAsia="黑体" w:hAnsi="黑体" w:cs="黑体" w:hint="eastAsia"/>
                <w:b/>
                <w:bCs/>
                <w:color w:val="000000"/>
                <w:kern w:val="0"/>
                <w:sz w:val="24"/>
                <w:lang w:bidi="ar"/>
              </w:rPr>
              <w:t>2018年评估</w:t>
            </w:r>
          </w:p>
          <w:p w:rsidR="00A1786E" w:rsidRDefault="00A9209F">
            <w:pPr>
              <w:widowControl/>
              <w:jc w:val="center"/>
              <w:textAlignment w:val="center"/>
              <w:rPr>
                <w:rFonts w:ascii="黑体" w:eastAsia="黑体" w:hAnsi="黑体" w:cs="黑体"/>
                <w:b/>
                <w:bCs/>
                <w:color w:val="000000"/>
                <w:kern w:val="0"/>
                <w:sz w:val="24"/>
                <w:lang w:bidi="ar"/>
              </w:rPr>
            </w:pPr>
            <w:r>
              <w:rPr>
                <w:rFonts w:ascii="黑体" w:eastAsia="黑体" w:hAnsi="黑体" w:cs="黑体" w:hint="eastAsia"/>
                <w:b/>
                <w:bCs/>
                <w:color w:val="000000"/>
                <w:kern w:val="0"/>
                <w:sz w:val="24"/>
                <w:lang w:bidi="ar"/>
              </w:rPr>
              <w:t>任务牵头部门</w:t>
            </w:r>
          </w:p>
        </w:tc>
      </w:tr>
      <w:tr w:rsidR="00A1786E">
        <w:trPr>
          <w:trHeight w:val="6196"/>
        </w:trPr>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1786E" w:rsidRDefault="00A9209F">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办学方向与本科地位</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ind w:firstLineChars="200" w:firstLine="480"/>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学校现有办学定位为“努力将学校建设成为教师教育独具特色，服务基础教育贡献突出，支柱性学科专业省内一流，标志性学科专业全国一流的师范大学”，但具体的标准或指标没有相应的说明，对于办学定位的内涵还需要进一步深化和具化。同时，办学理念还须凝练、办学思路需进一步理清。在学校快速发展过程中，专业设置总量较大，非师范专业数量剧增，师范专业数量占比不到30%，师范</w:t>
            </w:r>
            <w:proofErr w:type="gramStart"/>
            <w:r>
              <w:rPr>
                <w:rFonts w:ascii="仿宋" w:eastAsia="仿宋" w:hAnsi="仿宋" w:cs="仿宋" w:hint="eastAsia"/>
                <w:color w:val="000000"/>
                <w:kern w:val="0"/>
                <w:sz w:val="24"/>
                <w:lang w:bidi="ar"/>
              </w:rPr>
              <w:t>生数量</w:t>
            </w:r>
            <w:proofErr w:type="gramEnd"/>
            <w:r>
              <w:rPr>
                <w:rFonts w:ascii="仿宋" w:eastAsia="仿宋" w:hAnsi="仿宋" w:cs="仿宋" w:hint="eastAsia"/>
                <w:color w:val="000000"/>
                <w:kern w:val="0"/>
                <w:sz w:val="24"/>
                <w:lang w:bidi="ar"/>
              </w:rPr>
              <w:t>不足三成，作为师范类学校，教师培养主业弱化，师范专业特色不明显，需要进一步明确师范教育和非师范教育之间的关系以及两类专业的人才培养定位，并坚持师范教育不动摇的中心原则。</w:t>
            </w:r>
          </w:p>
          <w:p w:rsidR="00A1786E" w:rsidRDefault="00A9209F">
            <w:pPr>
              <w:widowControl/>
              <w:ind w:firstLine="480"/>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建议学校进一步细化“教师教育特色鲜明的高水平应用型大学”的标准，针对服务面向，明确建设任务与相关建设措施，进一步</w:t>
            </w:r>
            <w:proofErr w:type="gramStart"/>
            <w:r>
              <w:rPr>
                <w:rFonts w:ascii="仿宋" w:eastAsia="仿宋" w:hAnsi="仿宋" w:cs="仿宋" w:hint="eastAsia"/>
                <w:color w:val="000000"/>
                <w:kern w:val="0"/>
                <w:sz w:val="24"/>
                <w:lang w:bidi="ar"/>
              </w:rPr>
              <w:t>凝练学校</w:t>
            </w:r>
            <w:proofErr w:type="gramEnd"/>
            <w:r>
              <w:rPr>
                <w:rFonts w:ascii="仿宋" w:eastAsia="仿宋" w:hAnsi="仿宋" w:cs="仿宋" w:hint="eastAsia"/>
                <w:color w:val="000000"/>
                <w:kern w:val="0"/>
                <w:sz w:val="24"/>
                <w:lang w:bidi="ar"/>
              </w:rPr>
              <w:t>发展目标，理清内涵的具体内容；针对学校人才</w:t>
            </w:r>
            <w:proofErr w:type="gramStart"/>
            <w:r>
              <w:rPr>
                <w:rFonts w:ascii="仿宋" w:eastAsia="仿宋" w:hAnsi="仿宋" w:cs="仿宋" w:hint="eastAsia"/>
                <w:color w:val="000000"/>
                <w:kern w:val="0"/>
                <w:sz w:val="24"/>
                <w:lang w:bidi="ar"/>
              </w:rPr>
              <w:t>培养总</w:t>
            </w:r>
            <w:proofErr w:type="gramEnd"/>
            <w:r>
              <w:rPr>
                <w:rFonts w:ascii="仿宋" w:eastAsia="仿宋" w:hAnsi="仿宋" w:cs="仿宋" w:hint="eastAsia"/>
                <w:color w:val="000000"/>
                <w:kern w:val="0"/>
                <w:sz w:val="24"/>
                <w:lang w:bidi="ar"/>
              </w:rPr>
              <w:t>目标，进一步确立人才培养的中心地位，梳理学校机构设置，开展全校人才培养大讨论，统一思想，进一步落实到专业人才培养方案和教学各环节中，加强全校所有学院人才培养的达成度；发挥办学优势和办学传统，“精”办师范专业，非师专业应侧重向应用型转变。</w:t>
            </w:r>
          </w:p>
        </w:tc>
        <w:tc>
          <w:tcPr>
            <w:tcW w:w="908"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规划与考核处</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党政办公室</w:t>
            </w:r>
          </w:p>
        </w:tc>
      </w:tr>
      <w:tr w:rsidR="00A1786E">
        <w:trPr>
          <w:trHeight w:val="90"/>
        </w:trPr>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1786E" w:rsidRDefault="00A9209F">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sz w:val="24"/>
              </w:rPr>
              <w:t>教师队伍</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   学校总体生师比基本达到国家要求，但是各专业师资不平衡，专业之间的教师数量和生师比差异较大，各专业教师结构不合理，一些专业专职教师人数过少；师资队伍中高水平人才人数较少。整体具有博士学位的教师比例偏低，严重制约学校学科专业的发展建设；教师的整体科研水平有待提高，国内外交流、学习的经历有所欠缺；对教师团队建设投入的精力和财力相对较少，教师团队建设存在散点式、碎片化现象。</w:t>
            </w:r>
          </w:p>
          <w:p w:rsidR="00A1786E" w:rsidRDefault="00A9209F">
            <w:pPr>
              <w:widowControl/>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lastRenderedPageBreak/>
              <w:t xml:space="preserve">    建议学校进一步加大培养和引进高层次人才的力度，加强师资队伍建设，优化结构，增加“双师双能型”教师数量，重视创新创业教师的培养；深化人事编制、职称管理制度改革，结合学校发展要求，落实学校机构设置、职称评定、岗位聘用、人员管理的自主权，进一步优化专任教师职称结构，促进师资队伍均衡发展；建立机制，鼓励并引导教师积极投入本科教学，采取措施，确保教授、副教授全部为本科生授课。</w:t>
            </w:r>
          </w:p>
        </w:tc>
        <w:tc>
          <w:tcPr>
            <w:tcW w:w="908"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lastRenderedPageBreak/>
              <w:t>人事处</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人事处</w:t>
            </w:r>
          </w:p>
        </w:tc>
      </w:tr>
      <w:tr w:rsidR="00A1786E">
        <w:trPr>
          <w:trHeight w:val="4369"/>
        </w:trPr>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1786E" w:rsidRDefault="00A9209F">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lastRenderedPageBreak/>
              <w:t>教学资源与利用</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left"/>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    学校的实验设备等教学条件需要改善，存在部分设备陈旧、台套数少、常规设备维护费用和实验</w:t>
            </w:r>
            <w:proofErr w:type="gramStart"/>
            <w:r>
              <w:rPr>
                <w:rFonts w:ascii="仿宋" w:eastAsia="仿宋" w:hAnsi="仿宋" w:cs="仿宋" w:hint="eastAsia"/>
                <w:color w:val="000000"/>
                <w:kern w:val="0"/>
                <w:sz w:val="24"/>
                <w:lang w:bidi="ar"/>
              </w:rPr>
              <w:t>耗材费</w:t>
            </w:r>
            <w:proofErr w:type="gramEnd"/>
            <w:r>
              <w:rPr>
                <w:rFonts w:ascii="仿宋" w:eastAsia="仿宋" w:hAnsi="仿宋" w:cs="仿宋" w:hint="eastAsia"/>
                <w:color w:val="000000"/>
                <w:kern w:val="0"/>
                <w:sz w:val="24"/>
                <w:lang w:bidi="ar"/>
              </w:rPr>
              <w:t>不足等现象，设备与资金均存在较大缺口；图书资料建设的投入有待加强，生均纸质图书79.51册、生均年进纸质图书1.68册，难以满足学校发展要求；学校本科专业数偏多，布局较分散，使得传统的王牌专业不“专”，师范专业不“精”，优势和特色专业的龙头带动和示范效应不够明显。</w:t>
            </w:r>
          </w:p>
          <w:p w:rsidR="00A1786E" w:rsidRDefault="00A9209F">
            <w:pPr>
              <w:widowControl/>
              <w:jc w:val="left"/>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    建议学校按人才培养需求，及时补充实验环节所需仪器设备，同时逐步更新部分陈旧和落后的设备；重视图书资料建设，积极拓宽经费来源渠道，积极争取政府支持，多方筹集资金，保障学校本科教学投入；削减专业设置数量，调整师范专业在专业总数中的占比，集中优势资源，做大做强学校师范专业。</w:t>
            </w:r>
          </w:p>
        </w:tc>
        <w:tc>
          <w:tcPr>
            <w:tcW w:w="908"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教务处</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教务处</w:t>
            </w:r>
          </w:p>
        </w:tc>
      </w:tr>
      <w:tr w:rsidR="00A1786E">
        <w:trPr>
          <w:trHeight w:val="2814"/>
        </w:trPr>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1786E" w:rsidRDefault="00A9209F">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培养过程</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left"/>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    深化教育改革的力度不够，教学改革措施不够到位。教师课堂教学缺乏改革创新要素，还是以传统的教学模式居多，课程授课的吸引力和活力不足，“以学生为中心”的理念落实不到位；虽然部分课堂教学采取了微课、慕课、“翻转课堂”等方式，但实际效果有待加强，学校利用新兴技术和智能教学手段的课程比例偏低；部分专业实践基地建设质量不高，到基地进行实习的学生人数偏少，实习质量偏低，师范生到教学第一线的实习实践机会和时长不足，部分专业实践教学学分占比较低，同时实践教学的硬件设施还不达标，实践教学的监控力度不够；课</w:t>
            </w:r>
            <w:r>
              <w:rPr>
                <w:rFonts w:ascii="仿宋" w:eastAsia="仿宋" w:hAnsi="仿宋" w:cs="仿宋" w:hint="eastAsia"/>
                <w:color w:val="000000"/>
                <w:kern w:val="0"/>
                <w:sz w:val="24"/>
                <w:lang w:bidi="ar"/>
              </w:rPr>
              <w:lastRenderedPageBreak/>
              <w:t>程考核形式单一，试卷的难度和挑战度不高，存在平时成绩考核不严、成绩虚高的现象，毕业论文质量有待进一步提高，应用型论文选题比例过低，选用参考文献过于陈旧。</w:t>
            </w:r>
          </w:p>
          <w:p w:rsidR="00A1786E" w:rsidRDefault="00A9209F">
            <w:pPr>
              <w:widowControl/>
              <w:jc w:val="left"/>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    建议立足学校办学实际，积极开展人才培养模式的改革与创新，注重人才创新意识和创新能力培养探索；积极推进课程体系改革，拓宽学生自主学习的时间和空间；加强对青年教师教学方法的培训，提高青年教师教学技能、技巧以及驾驭课堂教学的能力；采取有效措施改善实践教学条件，使实验课按</w:t>
            </w:r>
            <w:proofErr w:type="gramStart"/>
            <w:r>
              <w:rPr>
                <w:rFonts w:ascii="仿宋" w:eastAsia="仿宋" w:hAnsi="仿宋" w:cs="仿宋" w:hint="eastAsia"/>
                <w:color w:val="000000"/>
                <w:kern w:val="0"/>
                <w:sz w:val="24"/>
                <w:lang w:bidi="ar"/>
              </w:rPr>
              <w:t>要求开够学分</w:t>
            </w:r>
            <w:proofErr w:type="gramEnd"/>
            <w:r>
              <w:rPr>
                <w:rFonts w:ascii="仿宋" w:eastAsia="仿宋" w:hAnsi="仿宋" w:cs="仿宋" w:hint="eastAsia"/>
                <w:color w:val="000000"/>
                <w:kern w:val="0"/>
                <w:sz w:val="24"/>
                <w:lang w:bidi="ar"/>
              </w:rPr>
              <w:t>、</w:t>
            </w:r>
            <w:proofErr w:type="gramStart"/>
            <w:r>
              <w:rPr>
                <w:rFonts w:ascii="仿宋" w:eastAsia="仿宋" w:hAnsi="仿宋" w:cs="仿宋" w:hint="eastAsia"/>
                <w:color w:val="000000"/>
                <w:kern w:val="0"/>
                <w:sz w:val="24"/>
                <w:lang w:bidi="ar"/>
              </w:rPr>
              <w:t>开够题目</w:t>
            </w:r>
            <w:proofErr w:type="gramEnd"/>
            <w:r>
              <w:rPr>
                <w:rFonts w:ascii="仿宋" w:eastAsia="仿宋" w:hAnsi="仿宋" w:cs="仿宋" w:hint="eastAsia"/>
                <w:color w:val="000000"/>
                <w:kern w:val="0"/>
                <w:sz w:val="24"/>
                <w:lang w:bidi="ar"/>
              </w:rPr>
              <w:t>，增加实验、实践教学学分占总学分的比重，使其达到教育部的基本要求；针对不同类型专业的特点制定毕业设计（论文）和实习等实践环节的质量标准，以及论文（设计）文本和实习报告的具体要求，建立专项检查制度，促进实践环节教学质量的提高。</w:t>
            </w:r>
          </w:p>
        </w:tc>
        <w:tc>
          <w:tcPr>
            <w:tcW w:w="908"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lastRenderedPageBreak/>
              <w:t>教务处</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教务处</w:t>
            </w:r>
          </w:p>
        </w:tc>
      </w:tr>
      <w:tr w:rsidR="00A1786E">
        <w:trPr>
          <w:trHeight w:val="5804"/>
        </w:trPr>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lastRenderedPageBreak/>
              <w:t>学生发展</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left"/>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    学生专职辅导员队伍建设有待加强，存在辅导员人数配备不充足、梯队不合理现象，学生心理辅导教师队伍不足，学生奖、助、扶、心理服务的体系不够清晰；个别专业就业效果不佳，毕业生跟踪调查工作没有形成制度规范，对就业政策研究及工作推进未能及时跟进；在学风与学习效果方面，学校加强学风建设的有效措施不够到位，尚未形成充分调动学生自主学习的机制、环境和氛围。</w:t>
            </w:r>
          </w:p>
          <w:p w:rsidR="00A1786E" w:rsidRDefault="00A9209F">
            <w:pPr>
              <w:widowControl/>
              <w:jc w:val="left"/>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    建议学校加强学生工作队伍建设。积极引进辅导员，使辅导员数量严重不足的现状得到有效改善；强化以学生为本、立德树人的育人理念和观念，为学生的长远发展奠定基础；加强就业指导和就业跟踪调查工作，依托用人单位、行业专家、优秀校友等多方社会力量，建立多元动态就业指导和跟踪调查体系。</w:t>
            </w:r>
          </w:p>
        </w:tc>
        <w:tc>
          <w:tcPr>
            <w:tcW w:w="908"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学生处</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学生处</w:t>
            </w:r>
          </w:p>
        </w:tc>
      </w:tr>
      <w:tr w:rsidR="00A1786E">
        <w:trPr>
          <w:trHeight w:val="5679"/>
        </w:trPr>
        <w:tc>
          <w:tcPr>
            <w:tcW w:w="679" w:type="pct"/>
            <w:tcBorders>
              <w:top w:val="single" w:sz="4" w:space="0" w:color="auto"/>
              <w:left w:val="single" w:sz="4" w:space="0" w:color="auto"/>
              <w:right w:val="single" w:sz="4" w:space="0" w:color="auto"/>
            </w:tcBorders>
            <w:shd w:val="clear" w:color="auto" w:fill="auto"/>
            <w:noWrap/>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lastRenderedPageBreak/>
              <w:t>质量保障</w:t>
            </w:r>
          </w:p>
        </w:tc>
        <w:tc>
          <w:tcPr>
            <w:tcW w:w="2521" w:type="pct"/>
            <w:tcBorders>
              <w:top w:val="single" w:sz="4" w:space="0" w:color="auto"/>
              <w:left w:val="single" w:sz="4" w:space="0" w:color="auto"/>
              <w:right w:val="single" w:sz="4" w:space="0" w:color="auto"/>
            </w:tcBorders>
            <w:shd w:val="clear" w:color="auto" w:fill="auto"/>
            <w:vAlign w:val="center"/>
          </w:tcPr>
          <w:p w:rsidR="00A1786E" w:rsidRDefault="00A9209F">
            <w:pPr>
              <w:widowControl/>
              <w:jc w:val="left"/>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   学校各教学环节质量标准不够健全，质量监控体系运行尚未形成闭环；教学质量保障组织机构不健全，没有独立的教学质量监督机构，院级教学督导队伍不够充足，任职条件、工作职责不够明确；教职员工全员质量责任意识尚未牢固树立，教学管理人员数量不足，教学单位和管理人员思想上对教学质量标准和保障制度的重视度不够，在教学上投入的精力不足。</w:t>
            </w:r>
          </w:p>
          <w:p w:rsidR="00A1786E" w:rsidRDefault="00A9209F">
            <w:pPr>
              <w:widowControl/>
              <w:jc w:val="left"/>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    建议学校和教学单位加强教学管理队伍和教学质量保障队伍建设，在全校教职工中强化重视教学质量的意识，将质量意识转变为每一个教职工在日常教学、管理和服务工作中的自觉遵循；加强教学质量保障组织机构建设，明确职责和任务，加强教学质量保障的制度建设，完善各教学环节质量标准，使整个教学过程处于有效监控之下。</w:t>
            </w:r>
          </w:p>
        </w:tc>
        <w:tc>
          <w:tcPr>
            <w:tcW w:w="908" w:type="pct"/>
            <w:tcBorders>
              <w:top w:val="single" w:sz="4" w:space="0" w:color="auto"/>
              <w:left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教学质量监控与评估处</w:t>
            </w:r>
          </w:p>
        </w:tc>
        <w:tc>
          <w:tcPr>
            <w:tcW w:w="890" w:type="pct"/>
            <w:tcBorders>
              <w:top w:val="single" w:sz="4" w:space="0" w:color="auto"/>
              <w:left w:val="single" w:sz="4" w:space="0" w:color="auto"/>
              <w:right w:val="single" w:sz="4" w:space="0" w:color="auto"/>
            </w:tcBorders>
            <w:shd w:val="clear" w:color="auto" w:fill="auto"/>
            <w:vAlign w:val="center"/>
          </w:tcPr>
          <w:p w:rsidR="00A1786E" w:rsidRDefault="00A9209F">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教务处</w:t>
            </w:r>
          </w:p>
        </w:tc>
      </w:tr>
    </w:tbl>
    <w:p w:rsidR="00A1786E" w:rsidRDefault="00A1786E">
      <w:pPr>
        <w:spacing w:line="600" w:lineRule="exact"/>
        <w:rPr>
          <w:rFonts w:ascii="方正小标宋简体" w:eastAsia="方正小标宋简体" w:hAnsi="方正小标宋简体" w:cs="黑体"/>
          <w:sz w:val="44"/>
          <w:szCs w:val="44"/>
        </w:rPr>
      </w:pPr>
    </w:p>
    <w:sectPr w:rsidR="00A1786E">
      <w:pgSz w:w="11906" w:h="16838"/>
      <w:pgMar w:top="1701" w:right="1417" w:bottom="1417" w:left="141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184F6CFA" w:usb2="00000012"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2YTYxY2YwMjg1ODk2ZWEyZGQ3MjFiYzIxMGRhNGEifQ=="/>
  </w:docVars>
  <w:rsids>
    <w:rsidRoot w:val="5E2F6951"/>
    <w:rsid w:val="002170C4"/>
    <w:rsid w:val="002F3079"/>
    <w:rsid w:val="00A1786E"/>
    <w:rsid w:val="00A9209F"/>
    <w:rsid w:val="051200B1"/>
    <w:rsid w:val="0602397F"/>
    <w:rsid w:val="07DB3746"/>
    <w:rsid w:val="156F6E5A"/>
    <w:rsid w:val="28757E8C"/>
    <w:rsid w:val="2B687810"/>
    <w:rsid w:val="2ECC64D2"/>
    <w:rsid w:val="3823644E"/>
    <w:rsid w:val="5E2F6951"/>
    <w:rsid w:val="5FAA42E4"/>
    <w:rsid w:val="5FE65B3C"/>
    <w:rsid w:val="6B3C1C3F"/>
    <w:rsid w:val="73166E9F"/>
    <w:rsid w:val="7725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6">
    <w:name w:val="heading 6"/>
    <w:basedOn w:val="a"/>
    <w:next w:val="a"/>
    <w:semiHidden/>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6"/>
    <w:next w:val="a"/>
    <w:qFormat/>
    <w:pPr>
      <w:outlineLvl w:val="0"/>
    </w:pPr>
    <w:rPr>
      <w:rFonts w:ascii="黑体" w:hAnsi="黑体" w:cs="黑体" w:hint="eastAsia"/>
      <w:b w:val="0"/>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6">
    <w:name w:val="heading 6"/>
    <w:basedOn w:val="a"/>
    <w:next w:val="a"/>
    <w:semiHidden/>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6"/>
    <w:next w:val="a"/>
    <w:qFormat/>
    <w:pPr>
      <w:outlineLvl w:val="0"/>
    </w:pPr>
    <w:rPr>
      <w:rFonts w:ascii="黑体" w:hAnsi="黑体" w:cs="黑体" w:hint="eastAsia"/>
      <w:b w:val="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385</Words>
  <Characters>2195</Characters>
  <Application>Microsoft Office Word</Application>
  <DocSecurity>0</DocSecurity>
  <Lines>18</Lines>
  <Paragraphs>5</Paragraphs>
  <ScaleCrop>false</ScaleCrop>
  <Company>HP</Company>
  <LinksUpToDate>false</LinksUpToDate>
  <CharactersWithSpaces>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Tillytilly</dc:creator>
  <cp:lastModifiedBy>jwc</cp:lastModifiedBy>
  <cp:revision>4</cp:revision>
  <cp:lastPrinted>2023-11-02T02:57:00Z</cp:lastPrinted>
  <dcterms:created xsi:type="dcterms:W3CDTF">2023-11-02T02:13:00Z</dcterms:created>
  <dcterms:modified xsi:type="dcterms:W3CDTF">2023-11-07T03:27:00Z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592C5A735ABF4C45B88CFD8A768A5031_11</vt:lpwstr>
  </property>
</Properties>
</file>